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spacing w:after="80"/>
        <w:jc w:val="right"/>
      </w:pPr>
      <w:r>
        <w:rPr>
          <w:b/>
          <w:color w:val="9E7B22"/>
          <w:sz w:val="16"/>
        </w:rPr>
        <w:t>The King's College - 2026</w:t>
      </w:r>
    </w:p>
    <w:p>
      <w:pPr>
        <w:spacing w:after="80"/>
      </w:pPr>
      <w:r>
        <w:rPr>
          <w:color w:val="5B6770"/>
          <w:sz w:val="18"/>
        </w:rPr>
        <w:t>Year 12 Computer Science General</w:t>
      </w:r>
    </w:p>
    <w:p>
      <w:pPr>
        <w:pStyle w:val="Title"/>
        <w:spacing w:after="80"/>
      </w:pPr>
      <w:r>
        <w:t>Task 7 Student Task Sheet: Programming Practical Test</w:t>
      </w:r>
    </w:p>
    <w:p>
      <w:pPr>
        <w:spacing w:after="20"/>
      </w:pPr>
    </w:p>
    <w:bookmarkStart w:id="18" w:name="X0cc1228fdf8e0149fb34371ea2e7789c6a6f41c"/>
    <w:bookmarkStart w:id="9" w:name="assessment-details"/>
    <w:p>
      <w:pPr>
        <w:pStyle w:val="Heading2"/>
        <w:spacing w:after="80"/>
      </w:pPr>
      <w:r>
        <w:t xml:space="preserve">Assessment Details</w:t>
      </w:r>
    </w:p>
    <w:tbl>
      <w:tblPr>
        <w:tblStyle w:val="Table"/>
        <w:tblW w:type="auto" w:w="0"/>
        <w:jc w:val="center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</w:pPr>
            <w:r>
              <w:rPr>
                <w:b/>
                <w:color w:val="FFFFFF"/>
                <w:sz w:val="17"/>
              </w:rPr>
              <w:t xml:space="preserve">Item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</w:pPr>
            <w:r>
              <w:rPr>
                <w:b/>
                <w:color w:val="FFFFFF"/>
                <w:sz w:val="17"/>
              </w:rPr>
              <w:t xml:space="preserve">Details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Course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Year 12 Computer Science General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Unit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Unit 4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Assessment type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Practical test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Weighting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7.5%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Raw mark total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30 marks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Timing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Term 3 Week 9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Test window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Monday 14 September to Friday 18 September 2026</w:t>
            </w:r>
          </w:p>
        </w:tc>
      </w:tr>
      <w:tr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Duration</w:t>
            </w:r>
          </w:p>
        </w:tc>
        <w:tc>
          <w:tcPr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50 minutes</w:t>
            </w:r>
          </w:p>
        </w:tc>
      </w:tr>
    </w:tbl>
    <w:bookmarkEnd w:id="9"/>
    <w:bookmarkStart w:id="10" w:name="what-you-will-do"/>
    <w:p>
      <w:pPr>
        <w:pStyle w:val="Heading2"/>
        <w:spacing w:after="80"/>
      </w:pPr>
      <w:r>
        <w:t xml:space="preserve">What You Will Do</w:t>
      </w:r>
    </w:p>
    <w:p>
      <w:pPr>
        <w:pStyle w:val="FirstParagraph"/>
        <w:spacing w:after="80"/>
      </w:pPr>
      <w:r>
        <w:t xml:space="preserve">You will complete a short programming practical test. The test will give you a scenario and may include starter code, an algorithm segment, a trace table, a test table or a code segment that contains errors.</w:t>
      </w:r>
    </w:p>
    <w:p>
      <w:pPr>
        <w:pStyle w:val="BodyText"/>
        <w:spacing w:after="80"/>
      </w:pPr>
      <w:r>
        <w:t xml:space="preserve">You will be assessed on how well you can build, test, debug and explain a simple programming solution.</w:t>
      </w:r>
    </w:p>
    <w:bookmarkEnd w:id="10"/>
    <w:bookmarkStart w:id="14" w:name="required-evidence-and-mark-allocation"/>
    <w:p>
      <w:pPr>
        <w:pStyle w:val="Heading2"/>
        <w:spacing w:after="80"/>
      </w:pPr>
      <w:r>
        <w:t xml:space="preserve">Required Evidence And Mark Allocation</w:t>
      </w:r>
    </w:p>
    <w:p>
      <w:pPr>
        <w:pStyle w:val="FirstParagraph"/>
        <w:spacing w:after="80"/>
      </w:pPr>
      <w:r>
        <w:t xml:space="preserve">The test is marked out of</w:t>
      </w:r>
      <w:r>
        <w:t xml:space="preserve"> </w:t>
      </w:r>
      <w:r>
        <w:rPr>
          <w:b/>
          <w:bCs/>
        </w:rPr>
        <w:t xml:space="preserve">30 marks</w:t>
      </w:r>
      <w:r>
        <w:t xml:space="preserve">.</w:t>
      </w:r>
    </w:p>
    <w:bookmarkStart w:id="11" w:name="X9931cd25e836d155184ef815cb4fa51794da562"/>
    <w:p>
      <w:pPr>
        <w:pStyle w:val="Heading3"/>
        <w:spacing w:after="80"/>
      </w:pPr>
      <w:r>
        <w:t xml:space="preserve">Section A: Program Understanding And Design</w:t>
      </w:r>
    </w:p>
    <w:tbl>
      <w:tblGrid>
        <w:gridCol w:w="8712"/>
        <w:gridCol w:w="936"/>
      </w:tblGrid>
      <w:tblPr>
        <w:tblStyle w:val="Table"/>
        <w:tblW w:type="dxa" w:w="9648"/>
        <w:jc w:val="center"/>
        <w:tblLayout w:type="fixed"/>
        <w:tblLook w:firstRow="1" w:lastRow="0" w:firstColumn="0" w:lastColumn="0" w:noHBand="0" w:noVBand="0" w:val="0020"/>
      </w:tblPr>
      <w:tr>
        <w:trPr>
          <w:tblHeader w:val="on"/>
        </w:trP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</w:pPr>
            <w:r>
              <w:rPr>
                <w:b/>
                <w:color w:val="FFFFFF"/>
                <w:sz w:val="17"/>
              </w:rPr>
              <w:t xml:space="preserve">Description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  <w:jc w:val="center"/>
            </w:pPr>
            <w:r>
              <w:rPr>
                <w:b/>
                <w:color w:val="FFFFFF"/>
                <w:sz w:val="17"/>
              </w:rPr>
              <w:t xml:space="preserve">Marks</w:t>
            </w:r>
          </w:p>
        </w:tc>
      </w:t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Identifies the required inputs, processing and outputs from the scenario.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  <w:jc w:val="center"/>
            </w:pPr>
            <w:r>
              <w:rPr>
                <w:color w:val="1F2937"/>
                <w:sz w:val="17"/>
              </w:rPr>
              <w:t xml:space="preserve">1-3</w:t>
            </w:r>
          </w:p>
        </w:tc>
      </w:t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Selects suitable data types for the main values used by the program.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  <w:jc w:val="center"/>
            </w:pPr>
            <w:r>
              <w:rPr>
                <w:color w:val="1F2937"/>
                <w:sz w:val="17"/>
              </w:rPr>
              <w:t xml:space="preserve">1-2</w:t>
            </w:r>
          </w:p>
        </w:tc>
      </w:t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Uses meaningful variable names that suit the scenario and values stored.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  <w:jc w:val="center"/>
            </w:pPr>
            <w:r>
              <w:rPr>
                <w:color w:val="1F2937"/>
                <w:sz w:val="17"/>
              </w:rPr>
              <w:t xml:space="preserve">1-2</w:t>
            </w:r>
          </w:p>
        </w:tc>
      </w:t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Provides a clear algorithm plan using pseudocode, a flow chart or structured code comments.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  <w:jc w:val="center"/>
            </w:pPr>
            <w:r>
              <w:rPr>
                <w:color w:val="1F2937"/>
                <w:sz w:val="17"/>
              </w:rPr>
              <w:t xml:space="preserve">1-3</w:t>
            </w:r>
          </w:p>
        </w:tc>
      </w:t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b/>
                <w:bCs/>
                <w:color w:val="1F2937"/>
                <w:sz w:val="17"/>
              </w:rPr>
              <w:t xml:space="preserve">Subtotal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  <w:jc w:val="center"/>
            </w:pPr>
            <w:r>
              <w:rPr>
                <w:b/>
                <w:bCs/>
                <w:color w:val="1F2937"/>
                <w:sz w:val="17"/>
              </w:rPr>
              <w:t xml:space="preserve">10</w:t>
            </w:r>
          </w:p>
        </w:tc>
      </w:tr>
    </w:tbl>
    <w:bookmarkEnd w:id="11"/>
    <w:bookmarkStart w:id="12" w:name="section-b-program-construction"/>
    <w:p>
      <w:pPr>
        <w:pStyle w:val="Heading3"/>
        <w:spacing w:after="80"/>
      </w:pPr>
      <w:r>
        <w:t xml:space="preserve">Section B: Program Construction</w:t>
      </w:r>
    </w:p>
    <w:tbl>
      <w:tblGrid>
        <w:gridCol w:w="8712"/>
        <w:gridCol w:w="936"/>
      </w:tblGrid>
      <w:tblPr>
        <w:tblStyle w:val="Table"/>
        <w:tblW w:type="dxa" w:w="9648"/>
        <w:jc w:val="center"/>
        <w:tblLayout w:type="fixed"/>
        <w:tblLook w:firstRow="1" w:lastRow="0" w:firstColumn="0" w:lastColumn="0" w:noHBand="0" w:noVBand="0" w:val="0020"/>
      </w:tblPr>
      <w:tr>
        <w:trPr>
          <w:tblHeader w:val="on"/>
        </w:trP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</w:pPr>
            <w:r>
              <w:rPr>
                <w:b/>
                <w:color w:val="FFFFFF"/>
                <w:sz w:val="17"/>
              </w:rPr>
              <w:t xml:space="preserve">Description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  <w:jc w:val="center"/>
            </w:pPr>
            <w:r>
              <w:rPr>
                <w:b/>
                <w:color w:val="FFFFFF"/>
                <w:sz w:val="17"/>
              </w:rPr>
              <w:t xml:space="preserve">Marks</w:t>
            </w:r>
          </w:p>
        </w:tc>
      </w:t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Constructs a program that accepts the required input values.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  <w:jc w:val="center"/>
            </w:pPr>
            <w:r>
              <w:rPr>
                <w:color w:val="1F2937"/>
                <w:sz w:val="17"/>
              </w:rPr>
              <w:t xml:space="preserve">1-2</w:t>
            </w:r>
          </w:p>
        </w:tc>
      </w:t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Constructs processing that correctly uses assignment, calculations or comparisons.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  <w:jc w:val="center"/>
            </w:pPr>
            <w:r>
              <w:rPr>
                <w:color w:val="1F2937"/>
                <w:sz w:val="17"/>
              </w:rPr>
              <w:t xml:space="preserve">1-3</w:t>
            </w:r>
          </w:p>
        </w:tc>
      </w:t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Applies sequence so instructions run in a logical order.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  <w:jc w:val="center"/>
            </w:pPr>
            <w:r>
              <w:rPr>
                <w:color w:val="1F2937"/>
                <w:sz w:val="17"/>
              </w:rPr>
              <w:t xml:space="preserve">1-2</w:t>
            </w:r>
          </w:p>
        </w:tc>
      </w:t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Applies selection so the program makes at least one meaningful decision.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  <w:jc w:val="center"/>
            </w:pPr>
            <w:r>
              <w:rPr>
                <w:color w:val="1F2937"/>
                <w:sz w:val="17"/>
              </w:rPr>
              <w:t xml:space="preserve">1-3</w:t>
            </w:r>
          </w:p>
        </w:tc>
      </w:t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Applies iteration so part of the program repeats appropriately.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  <w:jc w:val="center"/>
            </w:pPr>
            <w:r>
              <w:rPr>
                <w:color w:val="1F2937"/>
                <w:sz w:val="17"/>
              </w:rPr>
              <w:t xml:space="preserve">1-3</w:t>
            </w:r>
          </w:p>
        </w:tc>
      </w:t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Produces clear output that is useful for the scenario.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  <w:jc w:val="center"/>
            </w:pPr>
            <w:r>
              <w:rPr>
                <w:color w:val="1F2937"/>
                <w:sz w:val="17"/>
              </w:rPr>
              <w:t xml:space="preserve">1-2</w:t>
            </w:r>
          </w:p>
        </w:tc>
      </w:t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b/>
                <w:bCs/>
                <w:color w:val="1F2937"/>
                <w:sz w:val="17"/>
              </w:rPr>
              <w:t xml:space="preserve">Subtotal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  <w:jc w:val="center"/>
            </w:pPr>
            <w:r>
              <w:rPr>
                <w:b/>
                <w:bCs/>
                <w:color w:val="1F2937"/>
                <w:sz w:val="17"/>
              </w:rPr>
              <w:t xml:space="preserve">15</w:t>
            </w:r>
          </w:p>
        </w:tc>
      </w:tr>
    </w:tbl>
    <w:bookmarkEnd w:id="12"/>
    <w:bookmarkStart w:id="13" w:name="Xe752bcb4c22d776af21005c8024ecd9ceceddbe"/>
    <w:p>
      <w:pPr>
        <w:pStyle w:val="Heading3"/>
        <w:spacing w:after="80"/>
      </w:pPr>
      <w:r>
        <w:t xml:space="preserve">Section C: Testing, Debugging And Documentation</w:t>
      </w:r>
    </w:p>
    <w:tbl>
      <w:tblGrid>
        <w:gridCol w:w="8712"/>
        <w:gridCol w:w="936"/>
      </w:tblGrid>
      <w:tblPr>
        <w:tblStyle w:val="Table"/>
        <w:tblW w:type="dxa" w:w="9648"/>
        <w:jc w:val="center"/>
        <w:tblLayout w:type="fixed"/>
        <w:tblLook w:firstRow="1" w:lastRow="0" w:firstColumn="0" w:lastColumn="0" w:noHBand="0" w:noVBand="0" w:val="0020"/>
      </w:tblPr>
      <w:tr>
        <w:trPr>
          <w:tblHeader w:val="on"/>
        </w:trP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</w:pPr>
            <w:r>
              <w:rPr>
                <w:b/>
                <w:color w:val="FFFFFF"/>
                <w:sz w:val="17"/>
              </w:rPr>
              <w:t xml:space="preserve">Description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003A5D"/>
          </w:tcPr>
          <w:p>
            <w:pPr>
              <w:pStyle w:val="Compact"/>
              <w:spacing w:after="40"/>
              <w:jc w:val="center"/>
            </w:pPr>
            <w:r>
              <w:rPr>
                <w:b/>
                <w:color w:val="FFFFFF"/>
                <w:sz w:val="17"/>
              </w:rPr>
              <w:t xml:space="preserve">Marks</w:t>
            </w:r>
          </w:p>
        </w:tc>
      </w:t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Selects and applies suitable normal, boundary and/or invalid test data.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  <w:jc w:val="center"/>
            </w:pPr>
            <w:r>
              <w:rPr>
                <w:color w:val="1F2937"/>
                <w:sz w:val="17"/>
              </w:rPr>
              <w:t xml:space="preserve">1-2</w:t>
            </w:r>
          </w:p>
        </w:tc>
      </w:t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Uses a trace table or desk check to show how values change through part of the algorithm.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  <w:jc w:val="center"/>
            </w:pPr>
            <w:r>
              <w:rPr>
                <w:color w:val="1F2937"/>
                <w:sz w:val="17"/>
              </w:rPr>
              <w:t xml:space="preserve">1-2</w:t>
            </w:r>
          </w:p>
        </w:tc>
      </w:t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Identifies or corrects a syntax, run-time or logical error.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  <w:jc w:val="center"/>
            </w:pPr>
            <w:r>
              <w:rPr>
                <w:color w:val="1F2937"/>
                <w:sz w:val="17"/>
              </w:rPr>
              <w:t xml:space="preserve">1</w:t>
            </w:r>
          </w:p>
        </w:tc>
      </w:t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color w:val="1F2937"/>
                <w:sz w:val="17"/>
              </w:rPr>
              <w:t xml:space="preserve">Provides brief internal or external documentation explaining important code or logic.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  <w:jc w:val="center"/>
            </w:pPr>
            <w:r>
              <w:rPr>
                <w:color w:val="1F2937"/>
                <w:sz w:val="17"/>
              </w:rPr>
              <w:t xml:space="preserve">1</w:t>
            </w:r>
          </w:p>
        </w:tc>
      </w:t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</w:pPr>
            <w:r>
              <w:rPr>
                <w:b/>
                <w:bCs/>
                <w:color w:val="1F2937"/>
                <w:sz w:val="17"/>
              </w:rPr>
              <w:t xml:space="preserve">Subtotal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FFFFF"/>
          </w:tcPr>
          <w:p>
            <w:pPr>
              <w:pStyle w:val="Compact"/>
              <w:spacing w:after="40"/>
              <w:jc w:val="center"/>
            </w:pPr>
            <w:r>
              <w:rPr>
                <w:b/>
                <w:bCs/>
                <w:color w:val="1F2937"/>
                <w:sz w:val="17"/>
              </w:rPr>
              <w:t xml:space="preserve">5</w:t>
            </w:r>
          </w:p>
        </w:tc>
      </w:tr>
      <w:tr>
        <w:tc>
          <w:tcPr>
            <w:tcW w:type="dxa" w:w="8712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</w:pPr>
            <w:r>
              <w:rPr>
                <w:b/>
                <w:bCs/>
                <w:color w:val="1F2937"/>
                <w:sz w:val="17"/>
              </w:rPr>
              <w:t xml:space="preserve">Total</w:t>
            </w:r>
          </w:p>
        </w:tc>
        <w:tc>
          <w:tcPr>
            <w:tcW w:type="dxa" w:w="936"/>
            <w:vAlign w:val="top"/>
            <w:tcBorders>
              <w:top w:val="single" w:sz="4" w:space="0" w:color="D7E0E8"/>
              <w:left w:val="single" w:sz="4" w:space="0" w:color="D7E0E8"/>
              <w:bottom w:val="single" w:sz="4" w:space="0" w:color="D7E0E8"/>
              <w:right w:val="single" w:sz="4" w:space="0" w:color="D7E0E8"/>
              <w:insideH w:val="single" w:sz="4" w:space="0" w:color="D7E0E8"/>
              <w:insideV w:val="single" w:sz="4" w:space="0" w:color="D7E0E8"/>
            </w:tcBorders>
            <w:shd w:fill="F8FAFC"/>
          </w:tcPr>
          <w:p>
            <w:pPr>
              <w:pStyle w:val="Compact"/>
              <w:spacing w:after="40"/>
              <w:jc w:val="center"/>
            </w:pPr>
            <w:r>
              <w:rPr>
                <w:b/>
                <w:bCs/>
                <w:color w:val="1F2937"/>
                <w:sz w:val="17"/>
              </w:rPr>
              <w:t xml:space="preserve">30</w:t>
            </w:r>
          </w:p>
        </w:tc>
      </w:tr>
    </w:tbl>
    <w:bookmarkEnd w:id="13"/>
    <w:bookmarkEnd w:id="14"/>
    <w:bookmarkStart w:id="15" w:name="test-conditions"/>
    <w:p>
      <w:pPr>
        <w:pStyle w:val="Heading2"/>
        <w:spacing w:after="80"/>
      </w:pPr>
      <w:r>
        <w:t xml:space="preserve">Test Conditions</w:t>
      </w:r>
    </w:p>
    <w:p>
      <w:pPr>
        <w:pStyle w:val="Compact"/>
        <w:numPr>
          <w:ilvl w:val="0"/>
          <w:numId w:val="1001"/>
        </w:numPr>
        <w:spacing w:after="80"/>
      </w:pPr>
      <w:r>
        <w:t xml:space="preserve">The test is completed individually.</w:t>
      </w:r>
    </w:p>
    <w:p>
      <w:pPr>
        <w:pStyle w:val="Compact"/>
        <w:numPr>
          <w:ilvl w:val="0"/>
          <w:numId w:val="1001"/>
        </w:numPr>
        <w:spacing w:after="80"/>
      </w:pPr>
      <w:r>
        <w:t xml:space="preserve">The test is supervised.</w:t>
      </w:r>
    </w:p>
    <w:p>
      <w:pPr>
        <w:pStyle w:val="Compact"/>
        <w:numPr>
          <w:ilvl w:val="0"/>
          <w:numId w:val="1001"/>
        </w:numPr>
        <w:spacing w:after="80"/>
      </w:pPr>
      <w:r>
        <w:t xml:space="preserve">You have 50 minutes.</w:t>
      </w:r>
    </w:p>
    <w:p>
      <w:pPr>
        <w:pStyle w:val="Compact"/>
        <w:numPr>
          <w:ilvl w:val="0"/>
          <w:numId w:val="1001"/>
        </w:numPr>
        <w:spacing w:after="80"/>
      </w:pPr>
      <w:r>
        <w:t xml:space="preserve">You may use the approved programming environment supplied by the teacher.</w:t>
      </w:r>
    </w:p>
    <w:p>
      <w:pPr>
        <w:pStyle w:val="Compact"/>
        <w:numPr>
          <w:ilvl w:val="0"/>
          <w:numId w:val="1001"/>
        </w:numPr>
        <w:spacing w:after="80"/>
      </w:pPr>
      <w:r>
        <w:t xml:space="preserve">You may use any teacher-provided starter file or code segment.</w:t>
      </w:r>
    </w:p>
    <w:p>
      <w:pPr>
        <w:pStyle w:val="Compact"/>
        <w:numPr>
          <w:ilvl w:val="0"/>
          <w:numId w:val="1001"/>
        </w:numPr>
        <w:spacing w:after="80"/>
      </w:pPr>
      <w:r>
        <w:t xml:space="preserve">You may not use unapproved internet resources, messaging, generative AI, copied code or another student’s work during the test.</w:t>
      </w:r>
    </w:p>
    <w:p>
      <w:pPr>
        <w:pStyle w:val="Compact"/>
        <w:numPr>
          <w:ilvl w:val="0"/>
          <w:numId w:val="1001"/>
        </w:numPr>
        <w:spacing w:after="80"/>
      </w:pPr>
      <w:r>
        <w:t xml:space="preserve">Submit your final evidence through the LMS before the end of the test period.</w:t>
      </w:r>
    </w:p>
    <w:bookmarkEnd w:id="15"/>
    <w:bookmarkStart w:id="16" w:name="file-naming"/>
    <w:p>
      <w:pPr>
        <w:pStyle w:val="Heading2"/>
        <w:spacing w:after="80"/>
      </w:pPr>
      <w:r>
        <w:t xml:space="preserve">File Naming</w:t>
      </w:r>
    </w:p>
    <w:p>
      <w:pPr>
        <w:pStyle w:val="FirstParagraph"/>
        <w:spacing w:after="80"/>
      </w:pPr>
      <w:r>
        <w:t xml:space="preserve">Use this naming pattern:</w:t>
      </w:r>
    </w:p>
    <w:p>
      <w:pPr>
        <w:pStyle w:val="BodyText"/>
        <w:spacing w:after="80"/>
      </w:pPr>
      <w:r>
        <w:rPr>
          <w:rStyle w:val="VerbatimChar"/>
        </w:rPr>
        <w:t xml:space="preserve">CSCGT_Task7_2026_Surname_FirstName</w:t>
      </w:r>
    </w:p>
    <w:p>
      <w:pPr>
        <w:pStyle w:val="BodyText"/>
        <w:spacing w:after="80"/>
      </w:pPr>
      <w:r>
        <w:t xml:space="preserve">Use the correct file extension for your programming environment.</w:t>
      </w:r>
    </w:p>
    <w:bookmarkEnd w:id="16"/>
    <w:bookmarkStart w:id="17" w:name="before-you-submit"/>
    <w:p>
      <w:pPr>
        <w:pStyle w:val="Heading2"/>
        <w:spacing w:after="80"/>
      </w:pPr>
      <w:r>
        <w:t xml:space="preserve">Before You Submit</w:t>
      </w:r>
    </w:p>
    <w:p>
      <w:pPr>
        <w:pStyle w:val="FirstParagraph"/>
        <w:spacing w:after="80"/>
      </w:pPr>
      <w:r>
        <w:t xml:space="preserve">Check that:</w:t>
      </w:r>
    </w:p>
    <w:p>
      <w:pPr>
        <w:pStyle w:val="Compact"/>
        <w:numPr>
          <w:ilvl w:val="0"/>
          <w:numId w:val="1002"/>
        </w:numPr>
        <w:spacing w:after="80"/>
      </w:pPr>
      <w:r>
        <w:t xml:space="preserve">your program or code file opens</w:t>
      </w:r>
    </w:p>
    <w:p>
      <w:pPr>
        <w:pStyle w:val="Compact"/>
        <w:numPr>
          <w:ilvl w:val="0"/>
          <w:numId w:val="1002"/>
        </w:numPr>
        <w:spacing w:after="80"/>
      </w:pPr>
      <w:r>
        <w:t xml:space="preserve">the program includes input, processing and output</w:t>
      </w:r>
    </w:p>
    <w:p>
      <w:pPr>
        <w:pStyle w:val="Compact"/>
        <w:numPr>
          <w:ilvl w:val="0"/>
          <w:numId w:val="1002"/>
        </w:numPr>
        <w:spacing w:after="80"/>
      </w:pPr>
      <w:r>
        <w:t xml:space="preserve">the program includes selection and iteration</w:t>
      </w:r>
    </w:p>
    <w:p>
      <w:pPr>
        <w:pStyle w:val="Compact"/>
        <w:numPr>
          <w:ilvl w:val="0"/>
          <w:numId w:val="1002"/>
        </w:numPr>
        <w:spacing w:after="80"/>
      </w:pPr>
      <w:r>
        <w:t xml:space="preserve">your variable names are readable</w:t>
      </w:r>
    </w:p>
    <w:p>
      <w:pPr>
        <w:pStyle w:val="Compact"/>
        <w:numPr>
          <w:ilvl w:val="0"/>
          <w:numId w:val="1002"/>
        </w:numPr>
        <w:spacing w:after="80"/>
      </w:pPr>
      <w:r>
        <w:t xml:space="preserve">your test evidence is complete</w:t>
      </w:r>
    </w:p>
    <w:p>
      <w:pPr>
        <w:pStyle w:val="Compact"/>
        <w:numPr>
          <w:ilvl w:val="0"/>
          <w:numId w:val="1002"/>
        </w:numPr>
        <w:spacing w:after="80"/>
      </w:pPr>
      <w:r>
        <w:t xml:space="preserve">your trace table or desk check is complete</w:t>
      </w:r>
    </w:p>
    <w:p>
      <w:pPr>
        <w:pStyle w:val="Compact"/>
        <w:numPr>
          <w:ilvl w:val="0"/>
          <w:numId w:val="1002"/>
        </w:numPr>
        <w:spacing w:after="80"/>
      </w:pPr>
      <w:r>
        <w:t xml:space="preserve">your LMS upload includes every required file</w:t>
      </w:r>
    </w:p>
    <w:bookmarkEnd w:id="17"/>
    <w:bookmarkEnd w:id="18"/>
    <w:sectPr>
      <w:headerReference w:type="default" r:id="rId9"/>
      <w:footerReference w:type="default" r:id="rId10"/>
      <w:footnotePr>
        <w:numRestart w:val="eachSect"/>
      </w:footnotePr>
      <w:pgSz w:w="11909" w:h="16834"/>
      <w:pgMar w:left="936" w:right="936" w:top="864" w:bottom="86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B6770"/>
        <w:sz w:val="16"/>
      </w:rPr>
    </w:r>
    <w:r>
      <w:rPr>
        <w:color w:val="5B6770"/>
        <w:sz w:val="16"/>
      </w:rPr>
      <w:t xml:space="preserve">The King's College | Year 12 Computer Science General | </w:t>
    </w:r>
    <w:r>
      <w:rPr>
        <w:color w:val="5B6770"/>
        <w:sz w:val="16"/>
      </w:rPr>
      <w:t xml:space="preserve">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rPr>
        <w:color w:val="5B6770"/>
        <w:sz w:val="16"/>
      </w:rPr>
      <w:t>The King's College | Year 12 Computer Science General | GTCSC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Aptos" w:hAnsi="Aptos" w:eastAsia="Aptos"/>
      <w:color w:val="1F2937"/>
      <w:sz w:val="20"/>
    </w:r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 w:ascii="Aptos Display" w:hAnsi="Aptos Display" w:eastAsia="Aptos Display"/>
      <w:b/>
      <w:color w:val="003A5D"/>
      <w:sz w:val="52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 w:ascii="Aptos Display" w:hAnsi="Aptos Display" w:eastAsia="Aptos Display"/>
      <w:b/>
      <w:color w:val="003A5D"/>
      <w:sz w:val="34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 w:ascii="Aptos Display" w:hAnsi="Aptos Display" w:eastAsia="Aptos Display"/>
      <w:b/>
      <w:color w:val="9E7B22"/>
      <w:sz w:val="26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 w:ascii="Aptos Display" w:hAnsi="Aptos Display" w:eastAsia="Aptos Display"/>
      <w:b/>
      <w:color w:val="003A5D"/>
      <w:sz w:val="22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Task 7 Student Task Sheet: Programming Practical Test</dc:title>
  <dc:creator/>
  <cp:keywords/>
  <dcterms:created xsi:type="dcterms:W3CDTF">2026-08-27T00:16:52Z</dcterms:created>
  <dcterms:modified xsi:type="dcterms:W3CDTF">2026-08-27T00:16:52Z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